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A9" w:rsidRDefault="00C107A9" w:rsidP="00C107A9">
      <w:pPr>
        <w:pStyle w:val="1"/>
      </w:pPr>
      <w:r>
        <w:t>(75-65-0)叔丁醇的理化及危险特性表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038"/>
        <w:gridCol w:w="1871"/>
        <w:gridCol w:w="2797"/>
      </w:tblGrid>
      <w:tr w:rsidR="00C107A9" w:rsidTr="0090435F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中文名：叔丁醇；三甲基甲醇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t-butyl alcohol</w:t>
            </w:r>
            <w:r>
              <w:rPr>
                <w:rFonts w:ascii="宋体" w:hAnsi="宋体" w:hint="eastAsia"/>
                <w:lang w:val="en-GB"/>
              </w:rPr>
              <w:t>;</w:t>
            </w:r>
            <w:r>
              <w:rPr>
                <w:rFonts w:ascii="宋体" w:hAnsi="宋体" w:hint="eastAsia"/>
              </w:rPr>
              <w:t>trimethyl carbinol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10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74.12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UN编号：1120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 中闪点易燃液体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32066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CAS号：75-65-0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bCs/>
              </w:rPr>
              <w:t>无色结晶或液体，有樟脑气味。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溶解性：溶于水、醇、醚。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熔点（℃）：25.3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沸点（℃）：82.2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相对密度（水＝1）：0.79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相对密度（空气＝1）：2.55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饱和蒸气压（kPa）：5.33(24.5℃)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燃烧热（kJ/mol）：2630.5</w:t>
            </w:r>
          </w:p>
        </w:tc>
      </w:tr>
      <w:tr w:rsidR="00C107A9" w:rsidTr="0090435F">
        <w:trPr>
          <w:cantSplit/>
          <w:trHeight w:val="163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闪点（℃）：11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爆炸下限（%）：2.3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爆炸上限（%）：8.0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引燃温度（℃）：470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  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强氧化剂、酸类、酸酐。</w:t>
            </w:r>
          </w:p>
        </w:tc>
      </w:tr>
      <w:tr w:rsidR="00C107A9" w:rsidTr="0090435F">
        <w:trPr>
          <w:cantSplit/>
          <w:trHeight w:val="7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易燃，其蒸气与空气可形成爆炸性混合物。遇明火、高温能引起燃烧爆炸。与氧化剂能发生强烈反应。其蒸气比空气重，能在较低处扩散到相当远的地方，遇火源会着火回燃。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：3500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</w:tc>
      </w:tr>
      <w:tr w:rsidR="00C107A9" w:rsidTr="0090435F">
        <w:trPr>
          <w:cantSplit/>
          <w:trHeight w:val="24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C107A9" w:rsidTr="0090435F">
        <w:trPr>
          <w:cantSplit/>
          <w:trHeight w:val="81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吸入或口服对身体有害。对眼睛、皮肤、粘膜和呼吸道有刺激作用。中毒表现可有头痛、恶心、眩晕。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皮肤接触：脱去被污染的衣着，用肥皂水和清水彻底冲洗皮肤，就医。   ※眼睛接触：提起眼睑，用流动清水或生理盐水冲洗，就医。   ※吸入：迅速脱离现场至空气新鲜处。保持呼吸道通畅。如呼吸困难，给输氧。如呼吸停止，立即进行人工呼吸，就医。   ※食入：饮足量温水，催吐。就医。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※呼吸系统防护：空气中浓度超标时，应该佩戴过滤式防毒面具(半面罩)。    ※眼睛防护：戴化学安全防护眼镜。   ※身体防护：穿防静电工作服。    ※手防护：戴一般作业防护手套。    ※其他：工作现场严禁吸烟，保持良好的卫生习惯。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若是液体，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用防爆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 w:rsidR="00C107A9" w:rsidTr="0090435F">
        <w:trPr>
          <w:cantSplit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C107A9" w:rsidRDefault="00C107A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A9" w:rsidRDefault="00C107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应与氧化剂分开存放。储存间内的照明、通风等设施应采用防爆型，开关设在仓外。配备相应品种和数量的消防器材。桶装堆垛不可过大，应留墙距、顶距、柱距及必要的防火检查走道。罐储时要有防火放爆技术措施。禁止使用易产生火花的机械设备和工具。灌装时应注意流速（不超过3m/s），且有接地装置，防止静电积聚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A9"/>
    <w:rsid w:val="00C107A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3E400-F14F-4B08-B6C1-488D0ACF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07A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107A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zyhq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